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Project title</w:t>
      </w:r>
    </w:p>
    <w:p>
      <w:pPr>
        <w:pStyle w:val="Title"/>
      </w:pPr>
      <w:r>
        <w:t xml:space="preserve">Hepatitis B surface antigen carriage in pregnant women and mother-to-child transmission of hepatitis B: a cross-sectional study</w:t>
      </w:r>
    </w:p>
    <w:p>
      <w:pPr>
        <w:pStyle w:val="Heading1"/>
      </w:pPr>
      <w:r>
        <w:t xml:space="preserve">Notice</w:t>
      </w:r>
    </w:p>
    <w:p>
      <w:r>
        <w:t xml:space="preserve">Fictitious protocol written for training: it deliberately contains methodological errors. Import it into Statoméa to find and correct them; the associated data are simulated.</w:t>
      </w:r>
    </w:p>
    <w:p>
      <w:pPr>
        <w:pStyle w:val="Heading1"/>
      </w:pPr>
      <w:r>
        <w:t xml:space="preserve">Primary objective</w:t>
      </w:r>
    </w:p>
    <w:p>
      <w:r>
        <w:t xml:space="preserve">To assess the effect of rural residence on hepatitis B surface antigen carriage in pregnant women.</w:t>
      </w:r>
    </w:p>
    <w:p>
      <w:pPr>
        <w:pStyle w:val="Heading1"/>
      </w:pPr>
      <w:r>
        <w:t xml:space="preserve">Specific objectives</w:t>
      </w:r>
    </w:p>
    <w:p>
      <w:r>
        <w:t xml:space="preserve">1. To estimate the incidence of HBsAg carriage;</w:t>
      </w:r>
    </w:p>
    <w:p>
      <w:r>
        <w:t xml:space="preserve">2. To identify factors associated with carriage (age, parity, residence);</w:t>
      </w:r>
    </w:p>
    <w:p>
      <w:r>
        <w:t xml:space="preserve">3. To estimate the frequency of infection in children born to carrier mothers, by HBeAg status.</w:t>
      </w:r>
    </w:p>
    <w:p>
      <w:pPr>
        <w:pStyle w:val="Heading1"/>
      </w:pPr>
      <w:r>
        <w:t xml:space="preserve">Study design</w:t>
      </w:r>
    </w:p>
    <w:p>
      <w:r>
        <w:t xml:space="preserve">Cross-sectional study with consecutive recruitment in the city's maternity units, over twelve months.</w:t>
      </w:r>
    </w:p>
    <w:p>
      <w:pPr>
        <w:pStyle w:val="Heading1"/>
      </w:pPr>
      <w:r>
        <w:t xml:space="preserve">Study population</w:t>
      </w:r>
    </w:p>
    <w:p>
      <w:r>
        <w:t xml:space="preserve">Pregnant women aged 15 years or older attending antenatal care; non-inclusion: refusal to participate.</w:t>
      </w:r>
    </w:p>
    <w:p>
      <w:pPr>
        <w:pStyle w:val="Heading1"/>
      </w:pPr>
      <w:r>
        <w:t xml:space="preserve">Sample size</w:t>
      </w:r>
    </w:p>
    <w:p>
      <w:r>
        <w:t xml:space="preserve">With an expected prevalence of 8%, a margin of error of 2.5% and a 95% confidence level, the formula N = Z² p q / i² gives 453 women. To cover refusals, we will add 10%, which brings us to 498 women.</w:t>
      </w:r>
    </w:p>
    <w:p>
      <w:pPr>
        <w:pStyle w:val="Heading1"/>
      </w:pPr>
      <w:r>
        <w:t xml:space="preserve">Variables</w:t>
      </w:r>
    </w:p>
    <w:p>
      <w:r>
        <w:t xml:space="preserve">The following information will be collected: age, residence (urban or rural), parity, HBsAg, HBeAg in carriers, child follow-up and child infection.</w:t>
      </w:r>
    </w:p>
    <w:p>
      <w:pPr>
        <w:pStyle w:val="Heading1"/>
      </w:pPr>
      <w:r>
        <w:t xml:space="preserve">Statistical analysis</w:t>
      </w:r>
    </w:p>
    <w:p>
      <w:r>
        <w:t xml:space="preserve">Data will be entered in Excel and analysed with R. Normality will be checked with the Kolmogorov-Smirnov test. Proportions will be compared with the chi-square test. The significance level will be set at 5%.</w:t>
      </w:r>
    </w:p>
    <w:p>
      <w:pPr>
        <w:pStyle w:val="Heading1"/>
      </w:pPr>
      <w:r>
        <w:t xml:space="preserve">Ethical considerations</w:t>
      </w:r>
    </w:p>
    <w:p>
      <w:r>
        <w:t xml:space="preserve">The protocol will be submitted to the ethics committee; written informed consent will be obtained.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80"/>
    </w:pPr>
    <w:rPr>
      <w:b/>
      <w:color w:val="1F4E79"/>
      <w:sz w:val="40"/>
    </w:rPr>
  </w:style>
  <w:style w:type="paragraph" w:styleId="Subtitle">
    <w:name w:val="Subtitle"/>
    <w:basedOn w:val="Normal"/>
    <w:next w:val="Normal"/>
    <w:rPr>
      <w:sz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80"/>
      <w:outlineLvl w:val="0"/>
    </w:pPr>
    <w:rPr>
      <w:b/>
      <w:color w:val="1F4E79"/>
      <w:sz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160" w:after="60"/>
      <w:outlineLvl w:val="1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