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 xml:space="preserve">Titre du projet</w:t>
      </w:r>
    </w:p>
    <w:p>
      <w:pPr>
        <w:pStyle w:val="Title"/>
      </w:pPr>
      <w:r>
        <w:t xml:space="preserve">Zinc associé aux sels de réhydratation orale dans la diarrhée aiguë de l'enfant : essai randomisé</w:t>
      </w:r>
    </w:p>
    <w:p>
      <w:pPr>
        <w:pStyle w:val="Heading1"/>
      </w:pPr>
      <w:r>
        <w:t xml:space="preserve">Avertissement</w:t>
      </w:r>
    </w:p>
    <w:p>
      <w:r>
        <w:t xml:space="preserve">Protocole fictif rédigé pour la formation : il contient volontairement des erreurs de méthode. Importez-le dans Statoméa pour les retrouver et les corriger ; les données associées sont simulées.</w:t>
      </w:r>
    </w:p>
    <w:p>
      <w:pPr>
        <w:pStyle w:val="Heading1"/>
      </w:pPr>
      <w:r>
        <w:t xml:space="preserve">Objectif principal</w:t>
      </w:r>
    </w:p>
    <w:p>
      <w:r>
        <w:t xml:space="preserve">Comparer la proportion d'enfants guéris au cinquième jour entre le zinc associé aux sels de réhydratation orale et un placebo associé aux sels de réhydratation orale.</w:t>
      </w:r>
    </w:p>
    <w:p>
      <w:pPr>
        <w:pStyle w:val="Heading1"/>
      </w:pPr>
      <w:r>
        <w:t xml:space="preserve">Type d'étude</w:t>
      </w:r>
    </w:p>
    <w:p>
      <w:r>
        <w:t xml:space="preserve">Essai contrôlé randomisé en double aveugle, à deux bras parallèles, dans le service de pédiatrie de l'hôpital ; allocation par enveloppes opaques scellées.</w:t>
      </w:r>
    </w:p>
    <w:p>
      <w:pPr>
        <w:pStyle w:val="Heading1"/>
      </w:pPr>
      <w:r>
        <w:t xml:space="preserve">Population d'étude</w:t>
      </w:r>
    </w:p>
    <w:p>
      <w:r>
        <w:t xml:space="preserve">Enfants de 6 à 59 mois admis pour une diarrhée aiguë de moins de 72 heures ; non-inclusion : déshydratation sévère, malnutrition aiguë sévère, refus des parents.</w:t>
      </w:r>
    </w:p>
    <w:p>
      <w:pPr>
        <w:pStyle w:val="Heading1"/>
      </w:pPr>
      <w:r>
        <w:t xml:space="preserve">Critère de jugement principal</w:t>
      </w:r>
    </w:p>
    <w:p>
      <w:r>
        <w:t xml:space="preserve">Guérison au cinquième jour : moins de trois selles liquides par 24 heures.</w:t>
      </w:r>
    </w:p>
    <w:p>
      <w:pPr>
        <w:pStyle w:val="Heading1"/>
      </w:pPr>
      <w:r>
        <w:t xml:space="preserve">Nombre de sujets nécessaires</w:t>
      </w:r>
    </w:p>
    <w:p>
      <w:r>
        <w:t xml:space="preserve">Pour montrer une augmentation de la guérison de 60 % à 75 % (puissance 80 %, alpha 5 %), il faut 120 enfants par bras.</w:t>
      </w:r>
    </w:p>
    <w:p>
      <w:pPr>
        <w:pStyle w:val="Heading1"/>
      </w:pPr>
      <w:r>
        <w:t xml:space="preserve">Variables étudiées</w:t>
      </w:r>
    </w:p>
    <w:p>
      <w:r>
        <w:t xml:space="preserve">Les informations suivantes seront recueillies : le bras attribué, l'âge en mois, le sexe, la déshydratation à l'admission, l'observance du traitement, la guérison au cinquième jour et la durée de la diarrhée.</w:t>
      </w:r>
    </w:p>
    <w:p>
      <w:pPr>
        <w:pStyle w:val="Heading1"/>
      </w:pPr>
      <w:r>
        <w:t xml:space="preserve">Analyse statistique</w:t>
      </w:r>
    </w:p>
    <w:p>
      <w:r>
        <w:t xml:space="preserve">Seuls les enfants ayant pris la totalité du traitement seront analysés. Les proportions de guérison seront comparées par le test du khi-deux au seuil de 5 %. Une analyse intermédiaire sera réalisée après l'inclusion de la moitié des enfants. Des analyses en sous-groupes selon l'âge et le sexe seront réalisées.</w:t>
      </w:r>
    </w:p>
    <w:p>
      <w:pPr>
        <w:pStyle w:val="Heading1"/>
      </w:pPr>
      <w:r>
        <w:t xml:space="preserve">Considérations éthiques</w:t>
      </w:r>
    </w:p>
    <w:p>
      <w:r>
        <w:t xml:space="preserve">Le protocole sera soumis au comité d'éthique ; le consentement écrit des parents sera recueilli.</w:t>
      </w:r>
    </w:p>
    <w:sectPr>
      <w:pgSz w:w="11906" w:h="16838"/>
      <w:pgMar w:top="1417" w:right="1417" w:bottom="1417" w:left="1417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fr-FR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spacing w:after="80"/>
    </w:pPr>
    <w:rPr>
      <w:b/>
      <w:color w:val="1F4E79"/>
      <w:sz w:val="40"/>
    </w:rPr>
  </w:style>
  <w:style w:type="paragraph" w:styleId="Subtitle">
    <w:name w:val="Subtitle"/>
    <w:basedOn w:val="Normal"/>
    <w:next w:val="Normal"/>
    <w:rPr>
      <w:sz w:val="28"/>
    </w:rPr>
  </w:style>
  <w:style w:type="paragraph" w:styleId="Heading1">
    <w:name w:val="heading 1"/>
    <w:basedOn w:val="Normal"/>
    <w:next w:val="Normal"/>
    <w:uiPriority w:val="9"/>
    <w:qFormat/>
    <w:pPr>
      <w:keepNext/>
      <w:spacing w:before="240" w:after="80"/>
      <w:outlineLvl w:val="0"/>
    </w:pPr>
    <w:rPr>
      <w:b/>
      <w:color w:val="1F4E79"/>
      <w:sz w:val="28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160" w:after="60"/>
      <w:outlineLvl w:val="1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